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CE" w:rsidRPr="00382ECE" w:rsidRDefault="00382ECE" w:rsidP="00382ECE">
      <w:pPr>
        <w:widowControl/>
        <w:adjustRightInd w:val="0"/>
        <w:snapToGrid w:val="0"/>
        <w:spacing w:line="588" w:lineRule="exact"/>
        <w:jc w:val="center"/>
        <w:rPr>
          <w:rFonts w:ascii="方正小标宋_GBK" w:eastAsia="方正小标宋_GBK" w:hAnsi="华文中宋" w:cs="宋体"/>
          <w:kern w:val="0"/>
          <w:sz w:val="44"/>
          <w:szCs w:val="44"/>
        </w:rPr>
      </w:pPr>
      <w:r w:rsidRPr="00A40C26">
        <w:rPr>
          <w:rFonts w:ascii="方正小标宋_GBK" w:eastAsia="方正小标宋_GBK" w:hAnsi="华文中宋" w:cs="宋体" w:hint="eastAsia"/>
          <w:bCs/>
          <w:kern w:val="0"/>
          <w:sz w:val="44"/>
          <w:szCs w:val="44"/>
        </w:rPr>
        <w:t>边境地区转移支付资金管理办法</w:t>
      </w:r>
    </w:p>
    <w:p w:rsidR="00382ECE" w:rsidRPr="008F6919" w:rsidRDefault="00382ECE" w:rsidP="00382ECE">
      <w:pPr>
        <w:pStyle w:val="1"/>
        <w:jc w:val="center"/>
        <w:rPr>
          <w:kern w:val="0"/>
          <w:sz w:val="32"/>
          <w:szCs w:val="32"/>
        </w:rPr>
      </w:pPr>
      <w:r w:rsidRPr="00A40C26">
        <w:rPr>
          <w:rFonts w:hint="eastAsia"/>
          <w:kern w:val="0"/>
          <w:sz w:val="32"/>
          <w:szCs w:val="32"/>
        </w:rPr>
        <w:t>第一章</w:t>
      </w:r>
      <w:r w:rsidRPr="00A40C26">
        <w:rPr>
          <w:kern w:val="0"/>
          <w:sz w:val="32"/>
          <w:szCs w:val="32"/>
        </w:rPr>
        <w:t xml:space="preserve"> </w:t>
      </w:r>
      <w:r w:rsidRPr="00A40C26">
        <w:rPr>
          <w:rFonts w:hint="eastAsia"/>
          <w:kern w:val="0"/>
          <w:sz w:val="32"/>
          <w:szCs w:val="32"/>
        </w:rPr>
        <w:t>总则</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第一条</w:t>
      </w:r>
      <w:r>
        <w:rPr>
          <w:rFonts w:ascii="仿宋_GB2312" w:eastAsia="仿宋_GB2312" w:hAnsi="宋体" w:cs="宋体"/>
          <w:kern w:val="0"/>
          <w:sz w:val="32"/>
          <w:szCs w:val="32"/>
        </w:rPr>
        <w:t xml:space="preserve"> 为规范边境地区转移支付资金管理，提高使用效益，促进相关地区经济和社会事业协调发展，制定本办法。</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第二条</w:t>
      </w:r>
      <w:r>
        <w:rPr>
          <w:rFonts w:ascii="仿宋_GB2312" w:eastAsia="仿宋_GB2312" w:hAnsi="宋体" w:cs="宋体"/>
          <w:kern w:val="0"/>
          <w:sz w:val="32"/>
          <w:szCs w:val="32"/>
        </w:rPr>
        <w:t xml:space="preserve"> 本办法所称边境地区转移支付资金，是指中央财政设立，支持边境地区用于陆地边境和海洋事务管理、改善边境地区民生、促进边境贸易发展</w:t>
      </w:r>
      <w:r>
        <w:rPr>
          <w:rFonts w:ascii="仿宋_GB2312" w:eastAsia="仿宋_GB2312" w:hAnsi="宋体" w:cs="宋体" w:hint="eastAsia"/>
          <w:kern w:val="0"/>
          <w:sz w:val="32"/>
          <w:szCs w:val="32"/>
        </w:rPr>
        <w:t>等</w:t>
      </w:r>
      <w:r>
        <w:rPr>
          <w:rFonts w:ascii="仿宋_GB2312" w:eastAsia="仿宋_GB2312" w:hAnsi="宋体" w:cs="宋体"/>
          <w:kern w:val="0"/>
          <w:sz w:val="32"/>
          <w:szCs w:val="32"/>
        </w:rPr>
        <w:t>的一般性转移支付资金。</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第三条</w:t>
      </w:r>
      <w:r>
        <w:rPr>
          <w:rFonts w:ascii="仿宋_GB2312" w:eastAsia="仿宋_GB2312" w:hAnsi="宋体" w:cs="宋体"/>
          <w:kern w:val="0"/>
          <w:sz w:val="32"/>
          <w:szCs w:val="32"/>
        </w:rPr>
        <w:t xml:space="preserve"> 边境地区转移支付资金的管理和使用应当遵循突出重点、公开透明、</w:t>
      </w:r>
      <w:r>
        <w:rPr>
          <w:rFonts w:ascii="仿宋_GB2312" w:eastAsia="仿宋_GB2312" w:hAnsi="宋体" w:cs="宋体" w:hint="eastAsia"/>
          <w:kern w:val="0"/>
          <w:sz w:val="32"/>
          <w:szCs w:val="32"/>
        </w:rPr>
        <w:t>讲求绩效的原则。</w:t>
      </w:r>
    </w:p>
    <w:p w:rsidR="00382ECE" w:rsidRPr="008F6919" w:rsidRDefault="00382ECE" w:rsidP="00382ECE">
      <w:pPr>
        <w:pStyle w:val="1"/>
        <w:jc w:val="center"/>
        <w:rPr>
          <w:kern w:val="0"/>
          <w:sz w:val="32"/>
          <w:szCs w:val="32"/>
        </w:rPr>
      </w:pPr>
      <w:r w:rsidRPr="00A40C26">
        <w:rPr>
          <w:rFonts w:hint="eastAsia"/>
          <w:kern w:val="0"/>
          <w:sz w:val="32"/>
          <w:szCs w:val="32"/>
        </w:rPr>
        <w:t>第二章</w:t>
      </w:r>
      <w:r w:rsidRPr="00A40C26">
        <w:rPr>
          <w:kern w:val="0"/>
          <w:sz w:val="32"/>
          <w:szCs w:val="32"/>
        </w:rPr>
        <w:t xml:space="preserve"> </w:t>
      </w:r>
      <w:r w:rsidRPr="00A40C26">
        <w:rPr>
          <w:rFonts w:hint="eastAsia"/>
          <w:kern w:val="0"/>
          <w:sz w:val="32"/>
          <w:szCs w:val="32"/>
        </w:rPr>
        <w:t>资金分配和下达</w:t>
      </w:r>
    </w:p>
    <w:p w:rsidR="00382ECE" w:rsidRPr="008F6919" w:rsidRDefault="00382ECE" w:rsidP="00382ECE">
      <w:pPr>
        <w:widowControl/>
        <w:adjustRightInd w:val="0"/>
        <w:snapToGrid w:val="0"/>
        <w:spacing w:line="588" w:lineRule="exact"/>
        <w:ind w:firstLineChars="200" w:firstLine="640"/>
        <w:rPr>
          <w:rFonts w:ascii="仿宋_GB2312" w:eastAsia="仿宋_GB2312"/>
          <w:snapToGrid w:val="0"/>
          <w:spacing w:val="6"/>
          <w:sz w:val="32"/>
          <w:szCs w:val="32"/>
        </w:rPr>
      </w:pPr>
      <w:r>
        <w:rPr>
          <w:rFonts w:ascii="黑体" w:eastAsia="黑体" w:hAnsi="黑体" w:cs="宋体" w:hint="eastAsia"/>
          <w:kern w:val="0"/>
          <w:sz w:val="32"/>
          <w:szCs w:val="32"/>
        </w:rPr>
        <w:t>第四条</w:t>
      </w:r>
      <w:r>
        <w:rPr>
          <w:rFonts w:ascii="仿宋_GB2312" w:eastAsia="仿宋_GB2312" w:hAnsi="宋体" w:cs="宋体"/>
          <w:kern w:val="0"/>
          <w:sz w:val="32"/>
          <w:szCs w:val="32"/>
        </w:rPr>
        <w:t xml:space="preserve"> 财政部根据陆地边境和海洋事务管理情况，选取相关因素，分配边境地区转移支付资金</w:t>
      </w:r>
      <w:r>
        <w:rPr>
          <w:rFonts w:ascii="仿宋_GB2312" w:eastAsia="仿宋_GB2312" w:hint="eastAsia"/>
          <w:snapToGrid w:val="0"/>
          <w:spacing w:val="6"/>
          <w:sz w:val="32"/>
          <w:szCs w:val="32"/>
        </w:rPr>
        <w:t>。用公式表示为：</w:t>
      </w:r>
    </w:p>
    <w:p w:rsidR="00382ECE" w:rsidRPr="008F6919" w:rsidRDefault="00382ECE" w:rsidP="00382ECE">
      <w:pPr>
        <w:widowControl/>
        <w:adjustRightInd w:val="0"/>
        <w:snapToGrid w:val="0"/>
        <w:spacing w:line="588" w:lineRule="exact"/>
        <w:ind w:firstLineChars="200" w:firstLine="664"/>
        <w:rPr>
          <w:rFonts w:ascii="仿宋_GB2312" w:eastAsia="仿宋_GB2312" w:hAnsi="宋体" w:cs="宋体"/>
          <w:kern w:val="0"/>
          <w:sz w:val="32"/>
          <w:szCs w:val="32"/>
        </w:rPr>
      </w:pPr>
      <w:r>
        <w:rPr>
          <w:rFonts w:ascii="仿宋_GB2312" w:eastAsia="仿宋_GB2312" w:hint="eastAsia"/>
          <w:snapToGrid w:val="0"/>
          <w:spacing w:val="6"/>
          <w:sz w:val="32"/>
          <w:szCs w:val="32"/>
        </w:rPr>
        <w:t>某地区转移支付应补助额</w:t>
      </w:r>
      <w:r>
        <w:rPr>
          <w:rFonts w:ascii="仿宋_GB2312" w:eastAsia="仿宋_GB2312" w:hint="eastAsia"/>
          <w:sz w:val="32"/>
          <w:szCs w:val="32"/>
        </w:rPr>
        <w:t>＝（</w:t>
      </w:r>
      <w:r w:rsidRPr="00305135">
        <w:rPr>
          <w:rFonts w:ascii="仿宋_GB2312" w:eastAsia="仿宋_GB2312" w:hint="eastAsia"/>
          <w:sz w:val="32"/>
          <w:szCs w:val="32"/>
        </w:rPr>
        <w:t>陆地边境事务补助</w:t>
      </w:r>
      <w:r>
        <w:rPr>
          <w:rFonts w:ascii="仿宋_GB2312" w:eastAsia="仿宋_GB2312" w:hint="eastAsia"/>
          <w:snapToGrid w:val="0"/>
          <w:spacing w:val="6"/>
          <w:sz w:val="32"/>
          <w:szCs w:val="32"/>
        </w:rPr>
        <w:t>＋</w:t>
      </w:r>
      <w:r>
        <w:rPr>
          <w:rFonts w:ascii="仿宋_GB2312" w:eastAsia="仿宋_GB2312" w:hAnsi="宋体" w:cs="宋体" w:hint="eastAsia"/>
          <w:kern w:val="0"/>
          <w:sz w:val="32"/>
          <w:szCs w:val="32"/>
        </w:rPr>
        <w:t>边民、</w:t>
      </w:r>
      <w:r>
        <w:rPr>
          <w:rFonts w:ascii="仿宋_GB2312" w:eastAsia="仿宋_GB2312" w:hint="eastAsia"/>
          <w:snapToGrid w:val="0"/>
          <w:spacing w:val="6"/>
          <w:sz w:val="32"/>
          <w:szCs w:val="32"/>
        </w:rPr>
        <w:t>护边员</w:t>
      </w:r>
      <w:r>
        <w:rPr>
          <w:rFonts w:ascii="仿宋_GB2312" w:eastAsia="仿宋_GB2312" w:hAnsi="宋体" w:cs="宋体" w:hint="eastAsia"/>
          <w:kern w:val="0"/>
          <w:sz w:val="32"/>
          <w:szCs w:val="32"/>
        </w:rPr>
        <w:t>补助</w:t>
      </w:r>
      <w:r>
        <w:rPr>
          <w:rFonts w:ascii="仿宋_GB2312" w:eastAsia="仿宋_GB2312" w:hint="eastAsia"/>
          <w:snapToGrid w:val="0"/>
          <w:spacing w:val="6"/>
          <w:sz w:val="32"/>
          <w:szCs w:val="32"/>
        </w:rPr>
        <w:t>＋口</w:t>
      </w:r>
      <w:r>
        <w:rPr>
          <w:rFonts w:ascii="仿宋_GB2312" w:eastAsia="仿宋_GB2312" w:hAnsi="宋体" w:cs="宋体" w:hint="eastAsia"/>
          <w:kern w:val="0"/>
          <w:sz w:val="32"/>
          <w:szCs w:val="32"/>
        </w:rPr>
        <w:t>岸运转补助</w:t>
      </w:r>
      <w:r>
        <w:rPr>
          <w:rFonts w:ascii="仿宋_GB2312" w:eastAsia="仿宋_GB2312" w:hint="eastAsia"/>
          <w:snapToGrid w:val="0"/>
          <w:spacing w:val="6"/>
          <w:sz w:val="32"/>
          <w:szCs w:val="32"/>
        </w:rPr>
        <w:t>＋边贸</w:t>
      </w:r>
      <w:r>
        <w:rPr>
          <w:rFonts w:ascii="仿宋_GB2312" w:eastAsia="仿宋_GB2312" w:hAnsi="宋体" w:cs="宋体" w:hint="eastAsia"/>
          <w:kern w:val="0"/>
          <w:sz w:val="32"/>
          <w:szCs w:val="32"/>
        </w:rPr>
        <w:t>能力建设补助</w:t>
      </w:r>
      <w:r>
        <w:rPr>
          <w:rFonts w:ascii="仿宋_GB2312" w:eastAsia="仿宋_GB2312" w:hint="eastAsia"/>
          <w:snapToGrid w:val="0"/>
          <w:spacing w:val="6"/>
          <w:sz w:val="32"/>
          <w:szCs w:val="32"/>
        </w:rPr>
        <w:t>＋</w:t>
      </w:r>
      <w:r w:rsidRPr="00305135">
        <w:rPr>
          <w:rFonts w:ascii="仿宋_GB2312" w:eastAsia="仿宋_GB2312" w:hint="eastAsia"/>
          <w:snapToGrid w:val="0"/>
          <w:spacing w:val="6"/>
          <w:sz w:val="32"/>
          <w:szCs w:val="32"/>
        </w:rPr>
        <w:t>海洋管理事务补助</w:t>
      </w:r>
      <w:r>
        <w:rPr>
          <w:rFonts w:ascii="仿宋_GB2312" w:eastAsia="仿宋_GB2312" w:hint="eastAsia"/>
          <w:snapToGrid w:val="0"/>
          <w:spacing w:val="6"/>
          <w:sz w:val="32"/>
          <w:szCs w:val="32"/>
        </w:rPr>
        <w:t>）</w:t>
      </w:r>
      <w:r>
        <w:rPr>
          <w:rFonts w:ascii="仿宋_GB2312" w:eastAsia="仿宋_GB2312" w:hint="eastAsia"/>
          <w:sz w:val="32"/>
          <w:szCs w:val="32"/>
        </w:rPr>
        <w:t>×</w:t>
      </w:r>
      <w:r>
        <w:rPr>
          <w:rFonts w:ascii="仿宋_GB2312" w:eastAsia="仿宋_GB2312" w:hint="eastAsia"/>
          <w:snapToGrid w:val="0"/>
          <w:spacing w:val="6"/>
          <w:sz w:val="32"/>
          <w:szCs w:val="32"/>
        </w:rPr>
        <w:t>增幅控制调整系数＋特殊因素补助</w:t>
      </w:r>
    </w:p>
    <w:p w:rsidR="00382ECE" w:rsidRPr="008F6919" w:rsidRDefault="00382ECE" w:rsidP="00382ECE">
      <w:pPr>
        <w:widowControl/>
        <w:adjustRightInd w:val="0"/>
        <w:snapToGrid w:val="0"/>
        <w:spacing w:line="588" w:lineRule="exact"/>
        <w:ind w:firstLineChars="200" w:firstLine="664"/>
        <w:rPr>
          <w:rFonts w:ascii="仿宋_GB2312" w:eastAsia="仿宋_GB2312"/>
          <w:snapToGrid w:val="0"/>
          <w:spacing w:val="6"/>
          <w:sz w:val="32"/>
          <w:szCs w:val="32"/>
        </w:rPr>
      </w:pPr>
      <w:r>
        <w:rPr>
          <w:rFonts w:ascii="仿宋_GB2312" w:eastAsia="仿宋_GB2312" w:hint="eastAsia"/>
          <w:snapToGrid w:val="0"/>
          <w:spacing w:val="6"/>
          <w:sz w:val="32"/>
          <w:szCs w:val="32"/>
        </w:rPr>
        <w:t>其中：</w:t>
      </w:r>
    </w:p>
    <w:p w:rsidR="00382ECE" w:rsidRPr="008F6919" w:rsidRDefault="00382ECE" w:rsidP="00382ECE">
      <w:pPr>
        <w:spacing w:line="588" w:lineRule="exact"/>
        <w:ind w:firstLineChars="200" w:firstLine="640"/>
        <w:rPr>
          <w:rFonts w:ascii="仿宋_GB2312" w:eastAsia="仿宋_GB2312"/>
          <w:sz w:val="32"/>
          <w:szCs w:val="32"/>
        </w:rPr>
      </w:pPr>
      <w:r>
        <w:rPr>
          <w:rFonts w:ascii="仿宋_GB2312" w:eastAsia="仿宋_GB2312" w:hint="eastAsia"/>
          <w:sz w:val="32"/>
          <w:szCs w:val="32"/>
        </w:rPr>
        <w:t>增幅控制调整系数。为保障各地区财政运行的稳定性，</w:t>
      </w:r>
      <w:r>
        <w:rPr>
          <w:rFonts w:ascii="仿宋_GB2312" w:eastAsia="仿宋_GB2312" w:hint="eastAsia"/>
          <w:sz w:val="32"/>
          <w:szCs w:val="32"/>
        </w:rPr>
        <w:lastRenderedPageBreak/>
        <w:t>以中央对地方边境地区转移支付平均增长率为基准，对超过（或低于）基准增长率一定幅度的地方适当调减（或调增）转移支付额。调减（或调增）相关地区转移支付所余（或所需）资金，中央财政不调剂他用（或另行安排），在保持转移支付总规模稳定的基础上，通过同比例放大（或压缩）享受转移支付地区转移支付的办法处理。对享受边境地区转移支付时间较短或连续多年调减（或调增）转移支付额的地区适当放宽增幅控制。</w:t>
      </w:r>
    </w:p>
    <w:p w:rsidR="00382ECE" w:rsidRDefault="00382ECE" w:rsidP="00382ECE">
      <w:pPr>
        <w:widowControl/>
        <w:adjustRightInd w:val="0"/>
        <w:snapToGrid w:val="0"/>
        <w:spacing w:line="588" w:lineRule="exact"/>
        <w:ind w:firstLineChars="200" w:firstLine="664"/>
        <w:rPr>
          <w:rFonts w:ascii="仿宋_GB2312" w:eastAsia="仿宋_GB2312"/>
          <w:snapToGrid w:val="0"/>
          <w:spacing w:val="6"/>
          <w:sz w:val="32"/>
          <w:szCs w:val="32"/>
        </w:rPr>
      </w:pPr>
      <w:r>
        <w:rPr>
          <w:rFonts w:ascii="仿宋_GB2312" w:eastAsia="仿宋_GB2312" w:hint="eastAsia"/>
          <w:snapToGrid w:val="0"/>
          <w:spacing w:val="6"/>
          <w:sz w:val="32"/>
          <w:szCs w:val="32"/>
        </w:rPr>
        <w:t>特殊因素补助。主要考虑按照党中央、国务院有关精神对特定事项或区域给予的定额补助或据实结算补助。</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第五条</w:t>
      </w:r>
      <w:r>
        <w:rPr>
          <w:rFonts w:ascii="仿宋_GB2312" w:eastAsia="仿宋_GB2312" w:hAnsi="宋体" w:cs="宋体"/>
          <w:kern w:val="0"/>
          <w:sz w:val="32"/>
          <w:szCs w:val="32"/>
        </w:rPr>
        <w:t xml:space="preserve"> 财政部于每年全国人民代表大会批准预算后30日内，将当年边境地区转移支付资金下达省级（含计划单列市，下同）财政部门；10</w:t>
      </w:r>
      <w:r>
        <w:rPr>
          <w:rFonts w:ascii="仿宋_GB2312" w:eastAsia="仿宋_GB2312" w:hAnsi="宋体" w:cs="宋体" w:hint="eastAsia"/>
          <w:kern w:val="0"/>
          <w:sz w:val="32"/>
          <w:szCs w:val="32"/>
        </w:rPr>
        <w:t>月</w:t>
      </w:r>
      <w:r>
        <w:rPr>
          <w:rFonts w:ascii="仿宋_GB2312" w:eastAsia="仿宋_GB2312" w:hAnsi="宋体" w:cs="宋体"/>
          <w:kern w:val="0"/>
          <w:sz w:val="32"/>
          <w:szCs w:val="32"/>
        </w:rPr>
        <w:t>31</w:t>
      </w:r>
      <w:r>
        <w:rPr>
          <w:rFonts w:ascii="仿宋_GB2312" w:eastAsia="仿宋_GB2312" w:hAnsi="宋体" w:cs="宋体" w:hint="eastAsia"/>
          <w:kern w:val="0"/>
          <w:sz w:val="32"/>
          <w:szCs w:val="32"/>
        </w:rPr>
        <w:t>日前，提前向省级财政部门下达下一年度边境地区转移支付预计数。</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第六条</w:t>
      </w:r>
      <w:r>
        <w:rPr>
          <w:rFonts w:ascii="仿宋_GB2312" w:eastAsia="仿宋_GB2312" w:hAnsi="宋体" w:cs="宋体"/>
          <w:kern w:val="0"/>
          <w:sz w:val="32"/>
          <w:szCs w:val="32"/>
        </w:rPr>
        <w:t xml:space="preserve"> 省级财政部门可以根据本地区实际情况，从自有财力中另外安排资金加强陆地边境和海洋事务管理，并与财政部下达的转移支付资金一并分配。分配时应重点向边境形势复杂、管理事务繁重、资金使用绩效水平高的地区</w:t>
      </w:r>
      <w:r>
        <w:rPr>
          <w:rFonts w:ascii="仿宋_GB2312" w:eastAsia="仿宋_GB2312" w:hAnsi="宋体" w:cs="宋体" w:hint="eastAsia"/>
          <w:kern w:val="0"/>
          <w:sz w:val="32"/>
          <w:szCs w:val="32"/>
        </w:rPr>
        <w:t>和贫困地区倾斜。</w:t>
      </w:r>
    </w:p>
    <w:p w:rsidR="00382ECE" w:rsidRPr="008F6919" w:rsidRDefault="00382ECE" w:rsidP="00382ECE">
      <w:pPr>
        <w:spacing w:line="588" w:lineRule="exact"/>
        <w:ind w:firstLineChars="200" w:firstLine="640"/>
        <w:rPr>
          <w:rFonts w:ascii="仿宋_GB2312" w:eastAsia="仿宋_GB2312"/>
          <w:snapToGrid w:val="0"/>
          <w:spacing w:val="6"/>
          <w:sz w:val="32"/>
          <w:szCs w:val="32"/>
        </w:rPr>
      </w:pPr>
      <w:r>
        <w:rPr>
          <w:rFonts w:ascii="黑体" w:eastAsia="黑体" w:hAnsi="黑体" w:cs="宋体" w:hint="eastAsia"/>
          <w:kern w:val="0"/>
          <w:sz w:val="32"/>
          <w:szCs w:val="32"/>
        </w:rPr>
        <w:t>第七条</w:t>
      </w:r>
      <w:r>
        <w:rPr>
          <w:rFonts w:ascii="仿宋_GB2312" w:eastAsia="仿宋_GB2312" w:hAnsi="宋体" w:cs="宋体"/>
          <w:kern w:val="0"/>
          <w:sz w:val="32"/>
          <w:szCs w:val="32"/>
        </w:rPr>
        <w:t xml:space="preserve"> 省级财政部门接到财政部下达的边境地区转移支付资金后，连同自行安排部分，应当在30日内下达省以</w:t>
      </w:r>
      <w:r>
        <w:rPr>
          <w:rFonts w:ascii="仿宋_GB2312" w:eastAsia="仿宋_GB2312" w:hAnsi="宋体" w:cs="宋体"/>
          <w:kern w:val="0"/>
          <w:sz w:val="32"/>
          <w:szCs w:val="32"/>
        </w:rPr>
        <w:lastRenderedPageBreak/>
        <w:t>下财政部门；</w:t>
      </w:r>
      <w:r>
        <w:rPr>
          <w:rFonts w:ascii="仿宋_GB2312" w:eastAsia="仿宋_GB2312" w:hint="eastAsia"/>
          <w:snapToGrid w:val="0"/>
          <w:spacing w:val="6"/>
          <w:sz w:val="32"/>
          <w:szCs w:val="32"/>
        </w:rPr>
        <w:t>收到财政部提前下达边境地区转移支付</w:t>
      </w:r>
      <w:r>
        <w:rPr>
          <w:rFonts w:eastAsia="仿宋_GB2312" w:hint="eastAsia"/>
          <w:snapToGrid w:val="0"/>
          <w:spacing w:val="6"/>
          <w:sz w:val="32"/>
          <w:szCs w:val="32"/>
        </w:rPr>
        <w:t>预计数</w:t>
      </w:r>
      <w:r>
        <w:rPr>
          <w:rFonts w:ascii="仿宋_GB2312" w:eastAsia="仿宋_GB2312" w:hint="eastAsia"/>
          <w:snapToGrid w:val="0"/>
          <w:spacing w:val="6"/>
          <w:sz w:val="32"/>
          <w:szCs w:val="32"/>
        </w:rPr>
        <w:t>30日内，</w:t>
      </w:r>
      <w:r>
        <w:rPr>
          <w:rFonts w:ascii="仿宋_GB2312" w:eastAsia="仿宋_GB2312" w:hAnsi="宋体" w:cs="宋体" w:hint="eastAsia"/>
          <w:kern w:val="0"/>
          <w:sz w:val="32"/>
          <w:szCs w:val="32"/>
        </w:rPr>
        <w:t>提前向省以下财政部门下达下一年度边境地区转移支付</w:t>
      </w:r>
      <w:r>
        <w:rPr>
          <w:rFonts w:eastAsia="仿宋_GB2312" w:cs="宋体" w:hint="eastAsia"/>
          <w:kern w:val="0"/>
          <w:sz w:val="32"/>
          <w:szCs w:val="32"/>
        </w:rPr>
        <w:t>预计数</w:t>
      </w:r>
      <w:r>
        <w:rPr>
          <w:rFonts w:ascii="仿宋_GB2312" w:eastAsia="仿宋_GB2312" w:hAnsi="宋体" w:cs="宋体" w:hint="eastAsia"/>
          <w:kern w:val="0"/>
          <w:sz w:val="32"/>
          <w:szCs w:val="32"/>
        </w:rPr>
        <w:t>。</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第八条</w:t>
      </w:r>
      <w:r>
        <w:rPr>
          <w:rFonts w:ascii="仿宋_GB2312" w:eastAsia="仿宋_GB2312" w:hAnsi="宋体" w:cs="宋体"/>
          <w:kern w:val="0"/>
          <w:sz w:val="32"/>
          <w:szCs w:val="32"/>
        </w:rPr>
        <w:t xml:space="preserve"> 省级及省以下财政部门要提高预算编制的完整性，将上级财政部门提前下达的边境地区转移支付</w:t>
      </w:r>
      <w:r>
        <w:rPr>
          <w:rFonts w:ascii="仿宋_GB2312" w:eastAsia="仿宋_GB2312" w:hAnsi="宋体" w:cs="宋体" w:hint="eastAsia"/>
          <w:kern w:val="0"/>
          <w:sz w:val="32"/>
          <w:szCs w:val="32"/>
        </w:rPr>
        <w:t>预计数</w:t>
      </w:r>
      <w:r>
        <w:rPr>
          <w:rFonts w:ascii="仿宋_GB2312" w:eastAsia="仿宋_GB2312" w:hAnsi="宋体" w:cs="宋体"/>
          <w:kern w:val="0"/>
          <w:sz w:val="32"/>
          <w:szCs w:val="32"/>
        </w:rPr>
        <w:t>，全额列入年初预算。</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第九条</w:t>
      </w:r>
      <w:r>
        <w:rPr>
          <w:rFonts w:ascii="仿宋_GB2312" w:eastAsia="仿宋_GB2312" w:hAnsi="宋体" w:cs="宋体"/>
          <w:kern w:val="0"/>
          <w:sz w:val="32"/>
          <w:szCs w:val="32"/>
        </w:rPr>
        <w:t xml:space="preserve"> 边境地区转移支付资金不要求县级财政配套。</w:t>
      </w:r>
    </w:p>
    <w:p w:rsidR="00382ECE" w:rsidRPr="008F6919" w:rsidRDefault="00382ECE" w:rsidP="00382ECE">
      <w:pPr>
        <w:pStyle w:val="1"/>
        <w:jc w:val="center"/>
        <w:rPr>
          <w:kern w:val="0"/>
          <w:sz w:val="32"/>
          <w:szCs w:val="32"/>
        </w:rPr>
      </w:pPr>
      <w:r w:rsidRPr="00A40C26">
        <w:rPr>
          <w:rFonts w:hint="eastAsia"/>
          <w:kern w:val="0"/>
          <w:sz w:val="32"/>
          <w:szCs w:val="32"/>
        </w:rPr>
        <w:t>第三章</w:t>
      </w:r>
      <w:r w:rsidRPr="00A40C26">
        <w:rPr>
          <w:kern w:val="0"/>
          <w:sz w:val="32"/>
          <w:szCs w:val="32"/>
        </w:rPr>
        <w:t xml:space="preserve"> </w:t>
      </w:r>
      <w:r w:rsidRPr="00A40C26">
        <w:rPr>
          <w:rFonts w:hint="eastAsia"/>
          <w:kern w:val="0"/>
          <w:sz w:val="32"/>
          <w:szCs w:val="32"/>
        </w:rPr>
        <w:t>资金管理和使用</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第十条</w:t>
      </w:r>
      <w:r>
        <w:rPr>
          <w:rFonts w:ascii="仿宋_GB2312" w:eastAsia="仿宋_GB2312" w:hAnsi="宋体" w:cs="宋体"/>
          <w:kern w:val="0"/>
          <w:sz w:val="32"/>
          <w:szCs w:val="32"/>
        </w:rPr>
        <w:t xml:space="preserve"> 边境地区转移支付资金用途包括：</w:t>
      </w:r>
    </w:p>
    <w:p w:rsidR="00382ECE" w:rsidRPr="008F6919" w:rsidRDefault="00382ECE" w:rsidP="00382ECE">
      <w:pPr>
        <w:spacing w:line="588"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（一）建立边民补助机制。</w:t>
      </w:r>
      <w:r>
        <w:rPr>
          <w:rFonts w:ascii="仿宋_GB2312" w:eastAsia="仿宋_GB2312" w:hint="eastAsia"/>
          <w:snapToGrid w:val="0"/>
          <w:spacing w:val="6"/>
          <w:sz w:val="32"/>
          <w:szCs w:val="32"/>
        </w:rPr>
        <w:t>边境省区要按照中央有关要求，统筹中央补助和自有财力，对在边境一线地区居住时间达到半年以上的边民予以补助。到2020年，边境省区一线边民补助标准每人每年不低于2500元（西藏不低于5000元）。在确保一线边民补助发放的同时，边境省区可对抵边乡镇居住的非一线边民发放边民补助，标准由边境省区结合实际自行确定。边境省区要运用大数据等信息化手段，建立健全符合本地区特点的边民身份认证制度，实现边民补助精准到人。</w:t>
      </w:r>
    </w:p>
    <w:p w:rsidR="00382ECE" w:rsidRPr="008F6919" w:rsidRDefault="00382ECE" w:rsidP="00382ECE">
      <w:pPr>
        <w:spacing w:line="588" w:lineRule="exact"/>
        <w:ind w:firstLine="600"/>
        <w:rPr>
          <w:rFonts w:ascii="仿宋_GB2312" w:eastAsia="仿宋_GB2312"/>
          <w:snapToGrid w:val="0"/>
          <w:spacing w:val="6"/>
          <w:sz w:val="32"/>
          <w:szCs w:val="32"/>
        </w:rPr>
      </w:pPr>
      <w:r>
        <w:rPr>
          <w:rFonts w:ascii="仿宋_GB2312" w:eastAsia="仿宋_GB2312" w:hint="eastAsia"/>
          <w:snapToGrid w:val="0"/>
          <w:spacing w:val="6"/>
          <w:sz w:val="32"/>
          <w:szCs w:val="32"/>
        </w:rPr>
        <w:t>（二）建立护边员补助机制。边境省区要按照中央有</w:t>
      </w:r>
      <w:r>
        <w:rPr>
          <w:rFonts w:ascii="仿宋_GB2312" w:eastAsia="仿宋_GB2312" w:hint="eastAsia"/>
          <w:snapToGrid w:val="0"/>
          <w:spacing w:val="6"/>
          <w:sz w:val="32"/>
          <w:szCs w:val="32"/>
        </w:rPr>
        <w:lastRenderedPageBreak/>
        <w:t>关要求，结合本地实际建立健全护边员制度，合理确定补贴标准，建立起一支人员稳定、专兼结合的护边巡边队伍。</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（三）保障口岸正常运转。用于维持边境一类口岸运转，支持改善通关条件等。</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支持边境贸易发展和边境小额贸易企业能力建设。主要用于支持边贸物流运输、边贸进出口加工业固定资产投资、边境小额贸易企业建设边贸仓储物流设施以及商品市场、互市贸易区、边（跨）合区等边贸产业和贸易载体建设。促进边境小额贸易企业发展以及加强地方政府支持边境小额贸易企业发展能力建设等，</w:t>
      </w:r>
      <w:r>
        <w:rPr>
          <w:rFonts w:ascii="仿宋_GB2312" w:eastAsia="仿宋_GB2312" w:hint="eastAsia"/>
          <w:sz w:val="32"/>
          <w:szCs w:val="32"/>
        </w:rPr>
        <w:t>资金规模根据边境地区转移支付资金总规模适度增长</w:t>
      </w:r>
      <w:r>
        <w:rPr>
          <w:rFonts w:ascii="仿宋_GB2312" w:eastAsia="仿宋_GB2312" w:hAnsi="宋体" w:cs="宋体" w:hint="eastAsia"/>
          <w:kern w:val="0"/>
          <w:sz w:val="32"/>
          <w:szCs w:val="32"/>
        </w:rPr>
        <w:t>。</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（五）其他。与边境和海洋事务管理有关的民生等其他支出。</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第十一条</w:t>
      </w:r>
      <w:r>
        <w:rPr>
          <w:rFonts w:ascii="仿宋_GB2312" w:eastAsia="仿宋_GB2312" w:hAnsi="宋体" w:cs="宋体"/>
          <w:kern w:val="0"/>
          <w:sz w:val="32"/>
          <w:szCs w:val="32"/>
        </w:rPr>
        <w:t xml:space="preserve"> 省级及省以下财政部门要加强对边境地区转移支付资金管理，</w:t>
      </w:r>
      <w:r>
        <w:rPr>
          <w:rFonts w:ascii="仿宋_GB2312" w:eastAsia="仿宋_GB2312" w:hAnsi="宋体" w:cs="宋体" w:hint="eastAsia"/>
          <w:kern w:val="0"/>
          <w:sz w:val="32"/>
          <w:szCs w:val="32"/>
        </w:rPr>
        <w:t>做好与中期财政规划要求衔接，加强绩效管理，提高资金使用效益。</w:t>
      </w:r>
    </w:p>
    <w:p w:rsidR="00382ECE" w:rsidRDefault="00382ECE" w:rsidP="00382ECE">
      <w:pPr>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int="eastAsia"/>
          <w:sz w:val="32"/>
          <w:szCs w:val="32"/>
        </w:rPr>
        <w:t>省级财政部门负责确定省以下财政部门的监督职责，定期对省以下财政部门边境地区转移支付资金管理和绩效等情况开展监督，监督情况应当及时报告财政部。</w:t>
      </w:r>
    </w:p>
    <w:p w:rsidR="00382ECE" w:rsidRPr="008F6919" w:rsidRDefault="00382ECE" w:rsidP="00382ECE">
      <w:pPr>
        <w:pStyle w:val="1"/>
        <w:jc w:val="center"/>
        <w:rPr>
          <w:kern w:val="0"/>
          <w:sz w:val="32"/>
          <w:szCs w:val="32"/>
        </w:rPr>
      </w:pPr>
      <w:r w:rsidRPr="00A40C26">
        <w:rPr>
          <w:rFonts w:hint="eastAsia"/>
          <w:kern w:val="0"/>
          <w:sz w:val="32"/>
          <w:szCs w:val="32"/>
        </w:rPr>
        <w:lastRenderedPageBreak/>
        <w:t>第四章</w:t>
      </w:r>
      <w:r w:rsidRPr="00A40C26">
        <w:rPr>
          <w:kern w:val="0"/>
          <w:sz w:val="32"/>
          <w:szCs w:val="32"/>
        </w:rPr>
        <w:t xml:space="preserve"> </w:t>
      </w:r>
      <w:r w:rsidRPr="00A40C26">
        <w:rPr>
          <w:rFonts w:hint="eastAsia"/>
          <w:kern w:val="0"/>
          <w:sz w:val="32"/>
          <w:szCs w:val="32"/>
        </w:rPr>
        <w:t>附则</w:t>
      </w:r>
    </w:p>
    <w:p w:rsidR="00382ECE"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第十三条</w:t>
      </w:r>
      <w:r>
        <w:rPr>
          <w:rFonts w:ascii="仿宋_GB2312" w:eastAsia="仿宋_GB2312" w:hAnsi="宋体" w:cs="宋体"/>
          <w:kern w:val="0"/>
          <w:sz w:val="32"/>
          <w:szCs w:val="32"/>
        </w:rPr>
        <w:t xml:space="preserve"> </w:t>
      </w:r>
      <w:r w:rsidRPr="00652655">
        <w:rPr>
          <w:rFonts w:ascii="仿宋_GB2312" w:eastAsia="仿宋_GB2312" w:hAnsi="宋体" w:cs="宋体" w:hint="eastAsia"/>
          <w:kern w:val="0"/>
          <w:sz w:val="32"/>
          <w:szCs w:val="32"/>
        </w:rPr>
        <w:t>各级财政</w:t>
      </w:r>
      <w:r>
        <w:rPr>
          <w:rFonts w:ascii="仿宋_GB2312" w:eastAsia="仿宋_GB2312" w:hAnsi="宋体" w:cs="宋体" w:hint="eastAsia"/>
          <w:kern w:val="0"/>
          <w:sz w:val="32"/>
          <w:szCs w:val="32"/>
        </w:rPr>
        <w:t>等</w:t>
      </w:r>
      <w:r w:rsidRPr="00652655">
        <w:rPr>
          <w:rFonts w:ascii="仿宋_GB2312" w:eastAsia="仿宋_GB2312" w:hAnsi="宋体" w:cs="宋体" w:hint="eastAsia"/>
          <w:kern w:val="0"/>
          <w:sz w:val="32"/>
          <w:szCs w:val="32"/>
        </w:rPr>
        <w:t>部门及其工作人员在边境地区转移支付资金分配、使用管理等工作中，存在违反本办法规定，以及滥用职权、玩忽职守、徇私舞弊等违法违纪行为的，按照</w:t>
      </w:r>
      <w:r>
        <w:rPr>
          <w:rFonts w:ascii="仿宋_GB2312" w:eastAsia="仿宋_GB2312" w:hAnsi="宋体" w:cs="宋体" w:hint="eastAsia"/>
          <w:kern w:val="0"/>
          <w:sz w:val="32"/>
          <w:szCs w:val="32"/>
        </w:rPr>
        <w:t>《中华人民共和国预算法》《中华人民共和国公务员法》《中华人民共和国监察法》</w:t>
      </w:r>
      <w:r w:rsidRPr="00652655">
        <w:rPr>
          <w:rFonts w:ascii="仿宋_GB2312" w:eastAsia="仿宋_GB2312" w:hAnsi="宋体" w:cs="宋体" w:hint="eastAsia"/>
          <w:kern w:val="0"/>
          <w:sz w:val="32"/>
          <w:szCs w:val="32"/>
        </w:rPr>
        <w:t>《财政违法行为处罚处分条例》等国家有关</w:t>
      </w:r>
      <w:r>
        <w:rPr>
          <w:rFonts w:ascii="仿宋_GB2312" w:eastAsia="仿宋_GB2312" w:hAnsi="宋体" w:cs="宋体" w:hint="eastAsia"/>
          <w:kern w:val="0"/>
          <w:sz w:val="32"/>
          <w:szCs w:val="32"/>
        </w:rPr>
        <w:t>法律法规</w:t>
      </w:r>
      <w:r w:rsidRPr="00652655">
        <w:rPr>
          <w:rFonts w:ascii="仿宋_GB2312" w:eastAsia="仿宋_GB2312" w:hAnsi="宋体" w:cs="宋体" w:hint="eastAsia"/>
          <w:kern w:val="0"/>
          <w:sz w:val="32"/>
          <w:szCs w:val="32"/>
        </w:rPr>
        <w:t>追究相应责任；涉嫌犯罪的，移送司法机关处理。</w:t>
      </w:r>
    </w:p>
    <w:p w:rsidR="00382ECE" w:rsidRPr="008F6919" w:rsidRDefault="00382ECE" w:rsidP="00382ECE">
      <w:pPr>
        <w:widowControl/>
        <w:adjustRightInd w:val="0"/>
        <w:snapToGrid w:val="0"/>
        <w:spacing w:line="588"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第十四条</w:t>
      </w:r>
      <w:r>
        <w:rPr>
          <w:rFonts w:ascii="仿宋_GB2312" w:eastAsia="仿宋_GB2312" w:hAnsi="宋体" w:cs="宋体"/>
          <w:kern w:val="0"/>
          <w:sz w:val="32"/>
          <w:szCs w:val="32"/>
        </w:rPr>
        <w:t xml:space="preserve"> 省级财政部门应当依据本办法，结合实际情况，制定本地区边境地区转移支付资金管理的具体规定，报财政部备案。</w:t>
      </w:r>
    </w:p>
    <w:p w:rsidR="00382ECE" w:rsidRPr="008F6919" w:rsidRDefault="00382ECE" w:rsidP="00382ECE">
      <w:pPr>
        <w:adjustRightInd w:val="0"/>
        <w:snapToGrid w:val="0"/>
        <w:spacing w:line="588" w:lineRule="exact"/>
        <w:ind w:firstLineChars="200" w:firstLine="640"/>
        <w:rPr>
          <w:rFonts w:ascii="仿宋_GB2312" w:eastAsia="仿宋_GB2312"/>
          <w:sz w:val="32"/>
          <w:szCs w:val="32"/>
        </w:rPr>
      </w:pPr>
      <w:r>
        <w:rPr>
          <w:rFonts w:ascii="黑体" w:eastAsia="黑体" w:hAnsi="黑体" w:cs="宋体" w:hint="eastAsia"/>
          <w:kern w:val="0"/>
          <w:sz w:val="32"/>
          <w:szCs w:val="32"/>
        </w:rPr>
        <w:t>第十五条</w:t>
      </w:r>
      <w:r>
        <w:rPr>
          <w:rFonts w:ascii="仿宋_GB2312" w:eastAsia="仿宋_GB2312" w:hAnsi="宋体" w:cs="宋体"/>
          <w:kern w:val="0"/>
          <w:sz w:val="32"/>
          <w:szCs w:val="32"/>
        </w:rPr>
        <w:t xml:space="preserve"> 本办法自</w:t>
      </w:r>
      <w:r>
        <w:rPr>
          <w:rFonts w:ascii="仿宋_GB2312" w:eastAsia="仿宋_GB2312" w:hAnsi="宋体" w:cs="宋体" w:hint="eastAsia"/>
          <w:kern w:val="0"/>
          <w:sz w:val="32"/>
          <w:szCs w:val="32"/>
        </w:rPr>
        <w:t>发布</w:t>
      </w:r>
      <w:r>
        <w:rPr>
          <w:rFonts w:ascii="仿宋_GB2312" w:eastAsia="仿宋_GB2312" w:hAnsi="宋体" w:cs="宋体"/>
          <w:kern w:val="0"/>
          <w:sz w:val="32"/>
          <w:szCs w:val="32"/>
        </w:rPr>
        <w:t>之日起</w:t>
      </w:r>
      <w:r>
        <w:rPr>
          <w:rFonts w:ascii="仿宋_GB2312" w:eastAsia="仿宋_GB2312" w:hAnsi="宋体" w:cs="宋体" w:hint="eastAsia"/>
          <w:kern w:val="0"/>
          <w:sz w:val="32"/>
          <w:szCs w:val="32"/>
        </w:rPr>
        <w:t>施行</w:t>
      </w:r>
      <w:r>
        <w:rPr>
          <w:rFonts w:ascii="仿宋_GB2312" w:eastAsia="仿宋_GB2312" w:hAnsi="宋体" w:cs="宋体"/>
          <w:kern w:val="0"/>
          <w:sz w:val="32"/>
          <w:szCs w:val="32"/>
        </w:rPr>
        <w:t>。《边境地区转移支付资金管理办法》（</w:t>
      </w:r>
      <w:r>
        <w:rPr>
          <w:rFonts w:ascii="仿宋_GB2312" w:eastAsia="仿宋_GB2312" w:hint="eastAsia"/>
          <w:snapToGrid w:val="0"/>
          <w:spacing w:val="6"/>
          <w:sz w:val="32"/>
          <w:szCs w:val="32"/>
        </w:rPr>
        <w:t>财预〔2015〕122号</w:t>
      </w:r>
      <w:r>
        <w:rPr>
          <w:rFonts w:ascii="仿宋_GB2312" w:eastAsia="仿宋_GB2312" w:hAnsi="宋体" w:cs="宋体" w:hint="eastAsia"/>
          <w:kern w:val="0"/>
          <w:sz w:val="32"/>
          <w:szCs w:val="32"/>
        </w:rPr>
        <w:t>）同时废止。</w:t>
      </w:r>
    </w:p>
    <w:p w:rsidR="00AC6181" w:rsidRPr="00382ECE" w:rsidRDefault="00AC6181"/>
    <w:sectPr w:rsidR="00AC6181" w:rsidRPr="00382ECE" w:rsidSect="0075031D">
      <w:footerReference w:type="default" r:id="rId6"/>
      <w:pgSz w:w="11906" w:h="16838"/>
      <w:pgMar w:top="2268" w:right="1814" w:bottom="1985"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81" w:rsidRDefault="00AC6181" w:rsidP="00382ECE">
      <w:r>
        <w:separator/>
      </w:r>
    </w:p>
  </w:endnote>
  <w:endnote w:type="continuationSeparator" w:id="1">
    <w:p w:rsidR="00AC6181" w:rsidRDefault="00AC6181" w:rsidP="00382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634"/>
      <w:docPartObj>
        <w:docPartGallery w:val="Page Numbers (Bottom of Page)"/>
        <w:docPartUnique/>
      </w:docPartObj>
    </w:sdtPr>
    <w:sdtEndPr/>
    <w:sdtContent>
      <w:p w:rsidR="005A51B9" w:rsidRDefault="00AC6181">
        <w:pPr>
          <w:pStyle w:val="a4"/>
          <w:jc w:val="center"/>
        </w:pPr>
        <w:r>
          <w:fldChar w:fldCharType="begin"/>
        </w:r>
        <w:r>
          <w:instrText xml:space="preserve"> PAGE   \* MERGEFORMAT </w:instrText>
        </w:r>
        <w:r>
          <w:fldChar w:fldCharType="separate"/>
        </w:r>
        <w:r w:rsidR="00382ECE" w:rsidRPr="00382ECE">
          <w:rPr>
            <w:noProof/>
            <w:lang w:val="zh-CN"/>
          </w:rPr>
          <w:t>4</w:t>
        </w:r>
        <w:r>
          <w:fldChar w:fldCharType="end"/>
        </w:r>
      </w:p>
    </w:sdtContent>
  </w:sdt>
  <w:p w:rsidR="005A51B9" w:rsidRDefault="00AC61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81" w:rsidRDefault="00AC6181" w:rsidP="00382ECE">
      <w:r>
        <w:separator/>
      </w:r>
    </w:p>
  </w:footnote>
  <w:footnote w:type="continuationSeparator" w:id="1">
    <w:p w:rsidR="00AC6181" w:rsidRDefault="00AC6181" w:rsidP="00382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ECE"/>
    <w:rsid w:val="00382ECE"/>
    <w:rsid w:val="00AC6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CE"/>
    <w:pPr>
      <w:widowControl w:val="0"/>
      <w:jc w:val="both"/>
    </w:pPr>
  </w:style>
  <w:style w:type="paragraph" w:styleId="1">
    <w:name w:val="heading 1"/>
    <w:basedOn w:val="a"/>
    <w:next w:val="a"/>
    <w:link w:val="1Char"/>
    <w:uiPriority w:val="9"/>
    <w:qFormat/>
    <w:rsid w:val="00382E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ECE"/>
    <w:rPr>
      <w:sz w:val="18"/>
      <w:szCs w:val="18"/>
    </w:rPr>
  </w:style>
  <w:style w:type="paragraph" w:styleId="a4">
    <w:name w:val="footer"/>
    <w:basedOn w:val="a"/>
    <w:link w:val="Char0"/>
    <w:uiPriority w:val="99"/>
    <w:unhideWhenUsed/>
    <w:rsid w:val="00382ECE"/>
    <w:pPr>
      <w:tabs>
        <w:tab w:val="center" w:pos="4153"/>
        <w:tab w:val="right" w:pos="8306"/>
      </w:tabs>
      <w:snapToGrid w:val="0"/>
      <w:jc w:val="left"/>
    </w:pPr>
    <w:rPr>
      <w:sz w:val="18"/>
      <w:szCs w:val="18"/>
    </w:rPr>
  </w:style>
  <w:style w:type="character" w:customStyle="1" w:styleId="Char0">
    <w:name w:val="页脚 Char"/>
    <w:basedOn w:val="a0"/>
    <w:link w:val="a4"/>
    <w:uiPriority w:val="99"/>
    <w:rsid w:val="00382ECE"/>
    <w:rPr>
      <w:sz w:val="18"/>
      <w:szCs w:val="18"/>
    </w:rPr>
  </w:style>
  <w:style w:type="character" w:customStyle="1" w:styleId="1Char">
    <w:name w:val="标题 1 Char"/>
    <w:basedOn w:val="a0"/>
    <w:link w:val="1"/>
    <w:uiPriority w:val="9"/>
    <w:rsid w:val="00382ECE"/>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赵云飞</dc:creator>
  <cp:keywords/>
  <dc:description/>
  <cp:lastModifiedBy>赵云飞</cp:lastModifiedBy>
  <cp:revision>2</cp:revision>
  <dcterms:created xsi:type="dcterms:W3CDTF">2019-04-08T05:49:00Z</dcterms:created>
  <dcterms:modified xsi:type="dcterms:W3CDTF">2019-04-08T05:50:00Z</dcterms:modified>
</cp:coreProperties>
</file>